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 xml:space="preserve"> </w:t>
      </w:r>
      <w:r>
        <w:t xml:space="preserve">                       </w:t>
      </w:r>
      <w:r>
        <w:rPr>
          <w:rFonts w:hint="eastAsia"/>
        </w:rPr>
        <w:t>生源地贷款流程</w:t>
      </w:r>
    </w:p>
    <w:p>
      <w:r>
        <w:rPr>
          <w:rFonts w:hint="eastAsia"/>
        </w:rPr>
        <w:t>生源地首贷的申请流程及所需材料：</w:t>
      </w:r>
    </w:p>
    <w:p>
      <w:r>
        <w:t>1. 注册学生在线服务系统：登录国家开发银行助学贷款信息网（www.csls.cdb.com.cn），注册学生在线服务系统（生源地）；</w:t>
      </w:r>
    </w:p>
    <w:p>
      <w:r>
        <w:t>2. 填写申请表：在线填写申请表，填写后导出并打印，借款学生本人签字；</w:t>
      </w:r>
    </w:p>
    <w:p>
      <w:r>
        <w:t>3. 加盖公章：申请表上需要资格审查单位加盖公章，资格审查单位一般有村（居）委会、乡镇（街道）民政部门或原毕业高中任一单位，具体盖章单位，请咨询您户籍所在县级的资助中心。注意：属于高中预申请无需加盖公章。</w:t>
      </w:r>
    </w:p>
    <w:p>
      <w:r>
        <w:t>4. 所需材料：</w:t>
      </w:r>
    </w:p>
    <w:p>
      <w:r>
        <w:t>4.1.借款学生本人签字并需加盖公章的《申请表》；</w:t>
      </w:r>
    </w:p>
    <w:p>
      <w:r>
        <w:t>4.2.借款学生及共同借款人双方的身份证原件及复印件；</w:t>
      </w:r>
    </w:p>
    <w:p>
      <w:r>
        <w:t>4.3.录取通知书或学生证复印件；</w:t>
      </w:r>
    </w:p>
    <w:p>
      <w:r>
        <w:t>4.4.户口簿原件；注：如果学生及共同借款人不在同一本户口簿上，需出示双方户口簿原件；</w:t>
      </w:r>
    </w:p>
    <w:p>
      <w:r>
        <w:t>5. 签订合同：借款学生及共同借款人一同携带所需材料，到户籍所在县级资助中心签订合同并领取回执单。</w:t>
      </w:r>
    </w:p>
    <w:p>
      <w:r>
        <w:t>6. 提交回执单：借款学生尽快将回执单交给高校老师，由老师录入系统。注：10月10日后无法录入回执。</w:t>
      </w:r>
    </w:p>
    <w:p>
      <w:r>
        <w:rPr>
          <w:rFonts w:hint="eastAsia"/>
        </w:rPr>
        <w:t>温馨提示：如学生的《学生证》原件遗失，可由高校开具的《学生在校证明》代替，县级资助中心留存《学生在校证明》原件。学生可登陆国家开发银行助学贷款信息网点击生源地学生在线服务系统左侧生源地助学贷款介绍中查看助学贷款范围</w:t>
      </w:r>
    </w:p>
    <w:p/>
    <w:p>
      <w:r>
        <w:t>贷款金额：本专科生每生每年不超过8000元，研究生每生每年不超过12000元，贷款额度可按学费和住宿费标准总和确定。</w:t>
      </w:r>
    </w:p>
    <w:p/>
    <w:p>
      <w:r>
        <w:rPr>
          <w:rFonts w:hint="eastAsia"/>
        </w:rPr>
        <w:t>续贷</w:t>
      </w:r>
    </w:p>
    <w:p>
      <w:r>
        <w:t>1. 登录学生在线服务，在线填写200字左右的《续贷声明》及续贷《申请表》。</w:t>
      </w:r>
    </w:p>
    <w:p>
      <w:r>
        <w:t>2. 提交《续贷声明》，等待学校老师审核通过。注：如果长时间未审核通过，请联系学校老师处理。</w:t>
      </w:r>
    </w:p>
    <w:p>
      <w:r>
        <w:t>3. 导出并打印《申请表》，由借款学生本人或首贷时的共同借款人，任意一方签字。注：无需在《申请表》上加盖公章。</w:t>
      </w:r>
    </w:p>
    <w:p>
      <w:r>
        <w:t>4. 《续贷申请》审核通过后，借款学生或申请首贷时的共同借款人任意一人，携带本人身份证原件及任意一方签字的《申请表》，前往户籍所在县级资助中心签订合同。</w:t>
      </w:r>
    </w:p>
    <w:p>
      <w:r>
        <w:t>5. 提交回执单：借款学生尽快将回执单交给高校老师，由老师录入系统。注：10月10日后无法录入回执。</w:t>
      </w:r>
    </w:p>
    <w:p/>
    <w:p>
      <w:pPr>
        <w:rPr>
          <w:rFonts w:hint="eastAsia"/>
        </w:rPr>
      </w:pPr>
      <w:r>
        <w:rPr>
          <w:rFonts w:hint="eastAsia"/>
        </w:rPr>
        <w:t>温馨提示：续贷学生必须每年至少两次登录学生在线服务系统维护相关信息。学生可登陆国家开发银行助学贷款信息网点击生源地学生在线服务系统左侧生源地助学贷款介绍中查看助学贷款范围。</w:t>
      </w:r>
    </w:p>
    <w:p>
      <w:pPr>
        <w:rPr>
          <w:rFonts w:hint="eastAsia"/>
        </w:rPr>
      </w:pPr>
    </w:p>
    <w:p>
      <w:pPr>
        <w:rPr>
          <w:rFonts w:hint="eastAsia"/>
          <w:lang w:val="en-US" w:eastAsia="zh-CN"/>
        </w:rPr>
      </w:pPr>
      <w:r>
        <w:rPr>
          <w:rFonts w:hint="eastAsia"/>
          <w:lang w:val="en-US" w:eastAsia="zh-CN"/>
        </w:rPr>
        <w:t>申请条件：</w:t>
      </w:r>
    </w:p>
    <w:p>
      <w:r>
        <w:rPr>
          <w:rFonts w:hint="default"/>
        </w:rPr>
        <w:t>1、申请学生必须为普通全日制在校生。学院不得为成人教育、自考类等非普通全日制学生开具《在校生申请生源地信用助学贷款证明》（附件1，以下简称《在校生证明》）。</w:t>
      </w:r>
    </w:p>
    <w:p>
      <w:pPr>
        <w:rPr>
          <w:rFonts w:hint="default"/>
        </w:rPr>
      </w:pPr>
      <w:r>
        <w:rPr>
          <w:rFonts w:hint="default"/>
        </w:rPr>
        <w:t>2、申请学生必须为经学校认定的家庭经济真正困难的学生。具体要符合下列条件之一：</w:t>
      </w:r>
    </w:p>
    <w:p>
      <w:pPr>
        <w:rPr>
          <w:rFonts w:hint="default"/>
        </w:rPr>
      </w:pPr>
      <w:r>
        <w:rPr>
          <w:rFonts w:hint="default"/>
        </w:rPr>
        <w:t>（1）农村</w:t>
      </w:r>
      <w:r>
        <w:rPr>
          <w:rFonts w:hint="default"/>
        </w:rPr>
        <w:fldChar w:fldCharType="begin"/>
      </w:r>
      <w:r>
        <w:rPr>
          <w:rFonts w:hint="default"/>
        </w:rPr>
        <w:instrText xml:space="preserve"> HYPERLINK "https://baike.sogou.com/lemma/ShowInnerLink.htm?lemmaId=36474109&amp;ss_c=ssc.citiao.link" \t "https://baike.sogou.com/_blank" </w:instrText>
      </w:r>
      <w:r>
        <w:rPr>
          <w:rFonts w:hint="default"/>
        </w:rPr>
        <w:fldChar w:fldCharType="separate"/>
      </w:r>
      <w:r>
        <w:rPr>
          <w:rStyle w:val="4"/>
          <w:rFonts w:hint="default" w:ascii="Arial" w:hAnsi="Arial" w:eastAsia="楷体" w:cs="Arial"/>
          <w:i w:val="0"/>
          <w:caps w:val="0"/>
          <w:color w:val="3366CC"/>
          <w:spacing w:val="0"/>
          <w:szCs w:val="14"/>
          <w:u w:val="none"/>
          <w:bdr w:val="none" w:color="auto" w:sz="0" w:space="0"/>
        </w:rPr>
        <w:t>特困户</w:t>
      </w:r>
      <w:r>
        <w:rPr>
          <w:rFonts w:hint="default"/>
        </w:rPr>
        <w:fldChar w:fldCharType="end"/>
      </w:r>
      <w:r>
        <w:rPr>
          <w:rFonts w:hint="default"/>
        </w:rPr>
        <w:t>和城镇</w:t>
      </w:r>
      <w:r>
        <w:rPr>
          <w:rFonts w:hint="default"/>
        </w:rPr>
        <w:fldChar w:fldCharType="begin"/>
      </w:r>
      <w:r>
        <w:rPr>
          <w:rFonts w:hint="default"/>
        </w:rPr>
        <w:instrText xml:space="preserve"> HYPERLINK "https://baike.sogou.com/lemma/ShowInnerLink.htm?lemmaId=235800&amp;ss_c=ssc.citiao.link" \t "https://baike.sogou.com/_blank" </w:instrText>
      </w:r>
      <w:r>
        <w:rPr>
          <w:rFonts w:hint="default"/>
        </w:rPr>
        <w:fldChar w:fldCharType="separate"/>
      </w:r>
      <w:r>
        <w:rPr>
          <w:rStyle w:val="4"/>
          <w:rFonts w:hint="default" w:ascii="Arial" w:hAnsi="Arial" w:eastAsia="楷体" w:cs="Arial"/>
          <w:i w:val="0"/>
          <w:caps w:val="0"/>
          <w:color w:val="3366CC"/>
          <w:spacing w:val="0"/>
          <w:szCs w:val="14"/>
          <w:u w:val="none"/>
          <w:bdr w:val="none" w:color="auto" w:sz="0" w:space="0"/>
        </w:rPr>
        <w:t>低保户</w:t>
      </w:r>
      <w:r>
        <w:rPr>
          <w:rFonts w:hint="default"/>
        </w:rPr>
        <w:fldChar w:fldCharType="end"/>
      </w:r>
      <w:r>
        <w:rPr>
          <w:rFonts w:hint="default"/>
        </w:rPr>
        <w:t>；</w:t>
      </w:r>
    </w:p>
    <w:p>
      <w:pPr>
        <w:rPr>
          <w:rFonts w:hint="default"/>
        </w:rPr>
      </w:pPr>
      <w:r>
        <w:rPr>
          <w:rFonts w:hint="default"/>
        </w:rPr>
        <w:t>（2）孤儿及残疾家庭；</w:t>
      </w:r>
    </w:p>
    <w:p>
      <w:pPr>
        <w:rPr>
          <w:rFonts w:hint="default"/>
        </w:rPr>
      </w:pPr>
      <w:r>
        <w:rPr>
          <w:rFonts w:hint="default"/>
        </w:rPr>
        <w:t>（3）遭受天灾人祸，造成重大损失，无力负担学生费用；</w:t>
      </w:r>
    </w:p>
    <w:p>
      <w:pPr>
        <w:rPr>
          <w:rFonts w:hint="default"/>
        </w:rPr>
      </w:pPr>
      <w:r>
        <w:rPr>
          <w:rFonts w:hint="default"/>
        </w:rPr>
        <w:t>（4）家庭成员患有重大疾病；</w:t>
      </w:r>
    </w:p>
    <w:p>
      <w:pPr>
        <w:rPr>
          <w:rFonts w:hint="default"/>
        </w:rPr>
      </w:pPr>
      <w:r>
        <w:rPr>
          <w:rFonts w:hint="default"/>
        </w:rPr>
        <w:t>（5）家庭主要收入创造者因故</w:t>
      </w:r>
      <w:r>
        <w:rPr>
          <w:rFonts w:hint="default"/>
        </w:rPr>
        <w:fldChar w:fldCharType="begin"/>
      </w:r>
      <w:r>
        <w:rPr>
          <w:rFonts w:hint="default"/>
        </w:rPr>
        <w:instrText xml:space="preserve"> HYPERLINK "https://baike.sogou.com/lemma/ShowInnerLink.htm?lemmaId=71650221&amp;ss_c=ssc.citiao.link" \t "https://baike.sogou.com/_blank" </w:instrText>
      </w:r>
      <w:r>
        <w:rPr>
          <w:rFonts w:hint="default"/>
        </w:rPr>
        <w:fldChar w:fldCharType="separate"/>
      </w:r>
      <w:r>
        <w:rPr>
          <w:rStyle w:val="4"/>
          <w:rFonts w:hint="default" w:ascii="Arial" w:hAnsi="Arial" w:eastAsia="楷体" w:cs="Arial"/>
          <w:i w:val="0"/>
          <w:caps w:val="0"/>
          <w:color w:val="3366CC"/>
          <w:spacing w:val="0"/>
          <w:szCs w:val="14"/>
          <w:u w:val="none"/>
          <w:bdr w:val="none" w:color="auto" w:sz="0" w:space="0"/>
        </w:rPr>
        <w:t>丧失劳动能力</w:t>
      </w:r>
      <w:r>
        <w:rPr>
          <w:rFonts w:hint="default"/>
        </w:rPr>
        <w:fldChar w:fldCharType="end"/>
      </w:r>
      <w:r>
        <w:rPr>
          <w:rFonts w:hint="default"/>
        </w:rPr>
        <w:t>；</w:t>
      </w:r>
    </w:p>
    <w:p>
      <w:pPr>
        <w:rPr>
          <w:rFonts w:hint="default"/>
        </w:rPr>
      </w:pPr>
      <w:r>
        <w:rPr>
          <w:rFonts w:hint="default"/>
        </w:rPr>
        <w:t>（6）无稳定收入的单亲家庭；</w:t>
      </w:r>
    </w:p>
    <w:p>
      <w:pPr>
        <w:rPr>
          <w:rFonts w:hint="default"/>
        </w:rPr>
      </w:pPr>
      <w:r>
        <w:rPr>
          <w:rFonts w:hint="default"/>
        </w:rPr>
        <w:t>（7）老、少、边、穷及偏远农村的贫困家庭；</w:t>
      </w:r>
    </w:p>
    <w:p>
      <w:pPr>
        <w:rPr>
          <w:rFonts w:hint="default"/>
        </w:rPr>
      </w:pPr>
      <w:r>
        <w:rPr>
          <w:rFonts w:hint="default"/>
        </w:rPr>
        <w:t>（8）父母双方或一方失业的家庭；</w:t>
      </w:r>
    </w:p>
    <w:p>
      <w:pPr>
        <w:rPr>
          <w:rFonts w:hint="default"/>
        </w:rPr>
      </w:pPr>
      <w:r>
        <w:rPr>
          <w:rFonts w:hint="default"/>
        </w:rPr>
        <w:t>（9）家庭年现金总收入低于8000元人民币。</w:t>
      </w:r>
    </w:p>
    <w:p>
      <w:pPr>
        <w:rPr>
          <w:rFonts w:hint="eastAsia"/>
          <w:lang w:val="en-US" w:eastAsia="zh-CN"/>
        </w:rPr>
      </w:pPr>
    </w:p>
    <w:p>
      <w:pPr>
        <w:rPr>
          <w:rFonts w:hint="eastAsia"/>
          <w:lang w:val="en-US" w:eastAsia="zh-CN"/>
        </w:rPr>
      </w:pPr>
      <w:r>
        <w:rPr>
          <w:rFonts w:hint="eastAsia"/>
          <w:lang w:val="en-US" w:eastAsia="zh-CN"/>
        </w:rPr>
        <w:t>还款：</w:t>
      </w:r>
    </w:p>
    <w:p>
      <w:pPr>
        <w:rPr>
          <w:rFonts w:hint="eastAsia"/>
          <w:lang w:val="en-US" w:eastAsia="zh-CN"/>
        </w:rPr>
      </w:pPr>
      <w:r>
        <w:rPr>
          <w:rFonts w:hint="eastAsia"/>
          <w:lang w:val="en-US" w:eastAsia="zh-CN"/>
        </w:rPr>
        <w:t>按照申请年限还款，若要提前还款，则应登录系统进行申请。</w:t>
      </w:r>
      <w:bookmarkStart w:id="0" w:name="_GoBack"/>
      <w:bookmarkEnd w:id="0"/>
    </w:p>
    <w:p>
      <w:pPr>
        <w:rPr>
          <w:rFonts w:hint="eastAsia"/>
          <w:lang w:val="en-US" w:eastAsia="zh-CN"/>
        </w:rPr>
      </w:pPr>
      <w:r>
        <w:rPr>
          <w:rFonts w:hint="eastAsia"/>
          <w:lang w:val="en-US" w:eastAsia="zh-CN"/>
        </w:rPr>
        <w:t>正常还款日：每年11月1日至12月20日(最后一年为9月1日至20日)。</w:t>
      </w:r>
    </w:p>
    <w:p>
      <w:pPr>
        <w:rPr>
          <w:rFonts w:hint="eastAsia"/>
          <w:lang w:val="en-US" w:eastAsia="zh-CN"/>
        </w:rPr>
      </w:pPr>
      <w:r>
        <w:rPr>
          <w:rFonts w:hint="eastAsia"/>
          <w:lang w:val="en-US" w:eastAsia="zh-CN"/>
        </w:rPr>
        <w:t>提前还款日：一般每月15日(含)之前提交申请，利息计算至当月20日，请与当月20日前还款；16日以后提交申请，利息计算至次月20日，请于次月20日前还款；其他特殊情况以合同约定为准。</w:t>
      </w:r>
    </w:p>
    <w:p>
      <w:pPr>
        <w:rPr>
          <w:rFonts w:hint="eastAsia"/>
        </w:rPr>
      </w:pPr>
      <w:r>
        <w:drawing>
          <wp:inline distT="0" distB="0" distL="0" distR="0">
            <wp:extent cx="4762500" cy="81915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4762500" cy="8191500"/>
                    </a:xfrm>
                    <a:prstGeom prst="rect">
                      <a:avLst/>
                    </a:prstGeom>
                  </pic:spPr>
                </pic:pic>
              </a:graphicData>
            </a:graphic>
          </wp:inline>
        </w:drawing>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9BB"/>
    <w:rsid w:val="00445177"/>
    <w:rsid w:val="005B69E6"/>
    <w:rsid w:val="005D407D"/>
    <w:rsid w:val="009A150B"/>
    <w:rsid w:val="00BC29BB"/>
    <w:rsid w:val="00E82543"/>
    <w:rsid w:val="6BF00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4">
    <w:name w:val="Hyperlink"/>
    <w:basedOn w:val="3"/>
    <w:semiHidden/>
    <w:unhideWhenUsed/>
    <w:uiPriority w:val="99"/>
    <w:rPr>
      <w:color w:val="0000FF"/>
      <w:u w:val="single"/>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151</Words>
  <Characters>864</Characters>
  <Lines>7</Lines>
  <Paragraphs>2</Paragraphs>
  <TotalTime>77</TotalTime>
  <ScaleCrop>false</ScaleCrop>
  <LinksUpToDate>false</LinksUpToDate>
  <CharactersWithSpaces>1013</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2019-01-20T13:46:00Z</dcterms:created>
  <dc:creator>跃 张</dc:creator>
  <cp:lastModifiedBy>记忆碎片</cp:lastModifiedBy>
  <dcterms:modified xsi:type="dcterms:W3CDTF">2019-01-23T07:04:37Z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